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422BF0">
        <w:rPr>
          <w:rFonts w:ascii="Palatino Linotype" w:hAnsi="Palatino Linotype" w:cs="Arial"/>
          <w:b/>
          <w:bCs/>
          <w:sz w:val="23"/>
          <w:szCs w:val="23"/>
        </w:rPr>
        <w:t>3900</w:t>
      </w:r>
      <w:r w:rsidR="00436541">
        <w:rPr>
          <w:rFonts w:ascii="Palatino Linotype" w:hAnsi="Palatino Linotype" w:cs="Arial"/>
          <w:b/>
          <w:bCs/>
          <w:sz w:val="23"/>
          <w:szCs w:val="23"/>
        </w:rPr>
        <w:t>/INFOEM/IP/RR/2018.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772781" w:rsidRPr="00772781" w:rsidRDefault="00E6179D">
          <w:pPr>
            <w:pStyle w:val="TDC1"/>
            <w:rPr>
              <w:rFonts w:eastAsiaTheme="minorEastAsia"/>
              <w:b w:val="0"/>
              <w:sz w:val="24"/>
              <w:szCs w:val="24"/>
              <w:lang w:eastAsia="es-MX"/>
            </w:rPr>
          </w:pPr>
          <w:r w:rsidRPr="00772781">
            <w:rPr>
              <w:sz w:val="24"/>
              <w:szCs w:val="24"/>
            </w:rPr>
            <w:fldChar w:fldCharType="begin"/>
          </w:r>
          <w:r w:rsidRPr="00772781">
            <w:rPr>
              <w:sz w:val="24"/>
              <w:szCs w:val="24"/>
            </w:rPr>
            <w:instrText xml:space="preserve"> TOC \o "1-3" \h \z \u </w:instrText>
          </w:r>
          <w:r w:rsidRPr="00772781">
            <w:rPr>
              <w:sz w:val="24"/>
              <w:szCs w:val="24"/>
            </w:rPr>
            <w:fldChar w:fldCharType="separate"/>
          </w:r>
          <w:hyperlink w:anchor="_Toc531602372" w:history="1">
            <w:r w:rsidR="00772781" w:rsidRPr="00772781">
              <w:rPr>
                <w:rStyle w:val="Hipervnculo"/>
                <w:rFonts w:eastAsia="Times New Roman"/>
                <w:sz w:val="24"/>
                <w:szCs w:val="24"/>
              </w:rPr>
              <w:t>I.</w:t>
            </w:r>
            <w:r w:rsidR="00772781" w:rsidRPr="00772781">
              <w:rPr>
                <w:rFonts w:eastAsiaTheme="minorEastAsia"/>
                <w:b w:val="0"/>
                <w:sz w:val="24"/>
                <w:szCs w:val="24"/>
                <w:lang w:eastAsia="es-MX"/>
              </w:rPr>
              <w:tab/>
            </w:r>
            <w:r w:rsidR="00772781" w:rsidRPr="00772781">
              <w:rPr>
                <w:rStyle w:val="Hipervnculo"/>
                <w:rFonts w:eastAsia="Times New Roman"/>
                <w:sz w:val="24"/>
                <w:szCs w:val="24"/>
              </w:rPr>
              <w:t>Consideraciones Generales</w:t>
            </w:r>
            <w:r w:rsidR="00772781" w:rsidRPr="00772781">
              <w:rPr>
                <w:webHidden/>
                <w:sz w:val="24"/>
                <w:szCs w:val="24"/>
              </w:rPr>
              <w:tab/>
            </w:r>
            <w:r w:rsidR="00772781" w:rsidRPr="00772781">
              <w:rPr>
                <w:webHidden/>
                <w:sz w:val="24"/>
                <w:szCs w:val="24"/>
              </w:rPr>
              <w:fldChar w:fldCharType="begin"/>
            </w:r>
            <w:r w:rsidR="00772781" w:rsidRPr="00772781">
              <w:rPr>
                <w:webHidden/>
                <w:sz w:val="24"/>
                <w:szCs w:val="24"/>
              </w:rPr>
              <w:instrText xml:space="preserve"> PAGEREF _Toc531602372 \h </w:instrText>
            </w:r>
            <w:r w:rsidR="00772781" w:rsidRPr="00772781">
              <w:rPr>
                <w:webHidden/>
                <w:sz w:val="24"/>
                <w:szCs w:val="24"/>
              </w:rPr>
            </w:r>
            <w:r w:rsidR="00772781" w:rsidRPr="00772781">
              <w:rPr>
                <w:webHidden/>
                <w:sz w:val="24"/>
                <w:szCs w:val="24"/>
              </w:rPr>
              <w:fldChar w:fldCharType="separate"/>
            </w:r>
            <w:r w:rsidR="007B6093">
              <w:rPr>
                <w:webHidden/>
                <w:sz w:val="24"/>
                <w:szCs w:val="24"/>
              </w:rPr>
              <w:t>1</w:t>
            </w:r>
            <w:r w:rsidR="00772781" w:rsidRPr="00772781">
              <w:rPr>
                <w:webHidden/>
                <w:sz w:val="24"/>
                <w:szCs w:val="24"/>
              </w:rPr>
              <w:fldChar w:fldCharType="end"/>
            </w:r>
          </w:hyperlink>
        </w:p>
        <w:p w:rsidR="00772781" w:rsidRPr="00772781" w:rsidRDefault="00501444">
          <w:pPr>
            <w:pStyle w:val="TDC1"/>
            <w:rPr>
              <w:rFonts w:eastAsiaTheme="minorEastAsia"/>
              <w:b w:val="0"/>
              <w:sz w:val="24"/>
              <w:szCs w:val="24"/>
              <w:lang w:eastAsia="es-MX"/>
            </w:rPr>
          </w:pPr>
          <w:hyperlink w:anchor="_Toc531602373" w:history="1">
            <w:r w:rsidR="00772781" w:rsidRPr="00772781">
              <w:rPr>
                <w:rStyle w:val="Hipervnculo"/>
                <w:rFonts w:eastAsia="Calibri"/>
                <w:sz w:val="24"/>
                <w:szCs w:val="24"/>
                <w:lang w:val="es-ES"/>
              </w:rPr>
              <w:t>II.</w:t>
            </w:r>
            <w:r w:rsidR="00772781" w:rsidRPr="00772781">
              <w:rPr>
                <w:rFonts w:eastAsiaTheme="minorEastAsia"/>
                <w:b w:val="0"/>
                <w:sz w:val="24"/>
                <w:szCs w:val="24"/>
                <w:lang w:eastAsia="es-MX"/>
              </w:rPr>
              <w:tab/>
            </w:r>
            <w:r w:rsidR="00772781" w:rsidRPr="00772781">
              <w:rPr>
                <w:rStyle w:val="Hipervnculo"/>
                <w:rFonts w:eastAsia="Calibri"/>
                <w:sz w:val="24"/>
                <w:szCs w:val="24"/>
                <w:lang w:val="es-ES"/>
              </w:rPr>
              <w:t>De los requerimientos planteados en el recurso de revisión.</w:t>
            </w:r>
            <w:r w:rsidR="00772781" w:rsidRPr="00772781">
              <w:rPr>
                <w:webHidden/>
                <w:sz w:val="24"/>
                <w:szCs w:val="24"/>
              </w:rPr>
              <w:tab/>
            </w:r>
            <w:r w:rsidR="00772781" w:rsidRPr="00772781">
              <w:rPr>
                <w:webHidden/>
                <w:sz w:val="24"/>
                <w:szCs w:val="24"/>
              </w:rPr>
              <w:fldChar w:fldCharType="begin"/>
            </w:r>
            <w:r w:rsidR="00772781" w:rsidRPr="00772781">
              <w:rPr>
                <w:webHidden/>
                <w:sz w:val="24"/>
                <w:szCs w:val="24"/>
              </w:rPr>
              <w:instrText xml:space="preserve"> PAGEREF _Toc531602373 \h </w:instrText>
            </w:r>
            <w:r w:rsidR="00772781" w:rsidRPr="00772781">
              <w:rPr>
                <w:webHidden/>
                <w:sz w:val="24"/>
                <w:szCs w:val="24"/>
              </w:rPr>
            </w:r>
            <w:r w:rsidR="00772781" w:rsidRPr="00772781">
              <w:rPr>
                <w:webHidden/>
                <w:sz w:val="24"/>
                <w:szCs w:val="24"/>
              </w:rPr>
              <w:fldChar w:fldCharType="separate"/>
            </w:r>
            <w:r w:rsidR="007B6093">
              <w:rPr>
                <w:webHidden/>
                <w:sz w:val="24"/>
                <w:szCs w:val="24"/>
              </w:rPr>
              <w:t>2</w:t>
            </w:r>
            <w:r w:rsidR="00772781" w:rsidRPr="00772781">
              <w:rPr>
                <w:webHidden/>
                <w:sz w:val="24"/>
                <w:szCs w:val="24"/>
              </w:rPr>
              <w:fldChar w:fldCharType="end"/>
            </w:r>
          </w:hyperlink>
        </w:p>
        <w:p w:rsidR="00772781" w:rsidRPr="00772781" w:rsidRDefault="00501444">
          <w:pPr>
            <w:pStyle w:val="TDC2"/>
            <w:rPr>
              <w:rFonts w:ascii="Palatino Linotype" w:eastAsiaTheme="minorEastAsia" w:hAnsi="Palatino Linotype"/>
              <w:noProof/>
              <w:sz w:val="24"/>
              <w:szCs w:val="24"/>
              <w:lang w:eastAsia="es-MX"/>
            </w:rPr>
          </w:pPr>
          <w:hyperlink w:anchor="_Toc531602374" w:history="1">
            <w:r w:rsidR="00772781" w:rsidRPr="00772781">
              <w:rPr>
                <w:rStyle w:val="Hipervnculo"/>
                <w:rFonts w:ascii="Palatino Linotype" w:hAnsi="Palatino Linotype"/>
                <w:b/>
                <w:noProof/>
                <w:sz w:val="24"/>
                <w:szCs w:val="24"/>
              </w:rPr>
              <w:t>III. Del Derecho de Acceso a la información pública y el deber de motivar.</w:t>
            </w:r>
            <w:r w:rsidR="00772781" w:rsidRPr="00772781">
              <w:rPr>
                <w:rFonts w:ascii="Palatino Linotype" w:hAnsi="Palatino Linotype"/>
                <w:noProof/>
                <w:webHidden/>
                <w:sz w:val="24"/>
                <w:szCs w:val="24"/>
              </w:rPr>
              <w:tab/>
            </w:r>
            <w:r w:rsidR="00772781" w:rsidRPr="00772781">
              <w:rPr>
                <w:rFonts w:ascii="Palatino Linotype" w:hAnsi="Palatino Linotype"/>
                <w:noProof/>
                <w:webHidden/>
                <w:sz w:val="24"/>
                <w:szCs w:val="24"/>
              </w:rPr>
              <w:fldChar w:fldCharType="begin"/>
            </w:r>
            <w:r w:rsidR="00772781" w:rsidRPr="00772781">
              <w:rPr>
                <w:rFonts w:ascii="Palatino Linotype" w:hAnsi="Palatino Linotype"/>
                <w:noProof/>
                <w:webHidden/>
                <w:sz w:val="24"/>
                <w:szCs w:val="24"/>
              </w:rPr>
              <w:instrText xml:space="preserve"> PAGEREF _Toc531602374 \h </w:instrText>
            </w:r>
            <w:r w:rsidR="00772781" w:rsidRPr="00772781">
              <w:rPr>
                <w:rFonts w:ascii="Palatino Linotype" w:hAnsi="Palatino Linotype"/>
                <w:noProof/>
                <w:webHidden/>
                <w:sz w:val="24"/>
                <w:szCs w:val="24"/>
              </w:rPr>
            </w:r>
            <w:r w:rsidR="00772781" w:rsidRPr="00772781">
              <w:rPr>
                <w:rFonts w:ascii="Palatino Linotype" w:hAnsi="Palatino Linotype"/>
                <w:noProof/>
                <w:webHidden/>
                <w:sz w:val="24"/>
                <w:szCs w:val="24"/>
              </w:rPr>
              <w:fldChar w:fldCharType="separate"/>
            </w:r>
            <w:r w:rsidR="007B6093">
              <w:rPr>
                <w:rFonts w:ascii="Palatino Linotype" w:hAnsi="Palatino Linotype"/>
                <w:noProof/>
                <w:webHidden/>
                <w:sz w:val="24"/>
                <w:szCs w:val="24"/>
              </w:rPr>
              <w:t>5</w:t>
            </w:r>
            <w:r w:rsidR="00772781" w:rsidRPr="00772781">
              <w:rPr>
                <w:rFonts w:ascii="Palatino Linotype" w:hAnsi="Palatino Linotype"/>
                <w:noProof/>
                <w:webHidden/>
                <w:sz w:val="24"/>
                <w:szCs w:val="24"/>
              </w:rPr>
              <w:fldChar w:fldCharType="end"/>
            </w:r>
          </w:hyperlink>
        </w:p>
        <w:p w:rsidR="00772781" w:rsidRPr="00772781" w:rsidRDefault="00501444">
          <w:pPr>
            <w:pStyle w:val="TDC1"/>
            <w:rPr>
              <w:rFonts w:eastAsiaTheme="minorEastAsia"/>
              <w:b w:val="0"/>
              <w:sz w:val="24"/>
              <w:szCs w:val="24"/>
              <w:lang w:eastAsia="es-MX"/>
            </w:rPr>
          </w:pPr>
          <w:hyperlink w:anchor="_Toc531602375" w:history="1">
            <w:r w:rsidR="00772781" w:rsidRPr="00772781">
              <w:rPr>
                <w:rStyle w:val="Hipervnculo"/>
                <w:rFonts w:eastAsia="Calibri"/>
                <w:sz w:val="24"/>
                <w:szCs w:val="24"/>
              </w:rPr>
              <w:t>IV. Del Pronunciamiento simple</w:t>
            </w:r>
            <w:r w:rsidR="00772781" w:rsidRPr="00772781">
              <w:rPr>
                <w:webHidden/>
                <w:sz w:val="24"/>
                <w:szCs w:val="24"/>
              </w:rPr>
              <w:tab/>
            </w:r>
            <w:r w:rsidR="00772781" w:rsidRPr="00772781">
              <w:rPr>
                <w:webHidden/>
                <w:sz w:val="24"/>
                <w:szCs w:val="24"/>
              </w:rPr>
              <w:fldChar w:fldCharType="begin"/>
            </w:r>
            <w:r w:rsidR="00772781" w:rsidRPr="00772781">
              <w:rPr>
                <w:webHidden/>
                <w:sz w:val="24"/>
                <w:szCs w:val="24"/>
              </w:rPr>
              <w:instrText xml:space="preserve"> PAGEREF _Toc531602375 \h </w:instrText>
            </w:r>
            <w:r w:rsidR="00772781" w:rsidRPr="00772781">
              <w:rPr>
                <w:webHidden/>
                <w:sz w:val="24"/>
                <w:szCs w:val="24"/>
              </w:rPr>
            </w:r>
            <w:r w:rsidR="00772781" w:rsidRPr="00772781">
              <w:rPr>
                <w:webHidden/>
                <w:sz w:val="24"/>
                <w:szCs w:val="24"/>
              </w:rPr>
              <w:fldChar w:fldCharType="separate"/>
            </w:r>
            <w:r w:rsidR="007B6093">
              <w:rPr>
                <w:webHidden/>
                <w:sz w:val="24"/>
                <w:szCs w:val="24"/>
              </w:rPr>
              <w:t>10</w:t>
            </w:r>
            <w:r w:rsidR="00772781" w:rsidRPr="00772781">
              <w:rPr>
                <w:webHidden/>
                <w:sz w:val="24"/>
                <w:szCs w:val="24"/>
              </w:rPr>
              <w:fldChar w:fldCharType="end"/>
            </w:r>
          </w:hyperlink>
        </w:p>
        <w:p w:rsidR="00772781" w:rsidRPr="00772781" w:rsidRDefault="00501444">
          <w:pPr>
            <w:pStyle w:val="TDC1"/>
            <w:rPr>
              <w:rFonts w:eastAsiaTheme="minorEastAsia"/>
              <w:b w:val="0"/>
              <w:sz w:val="24"/>
              <w:szCs w:val="24"/>
              <w:lang w:eastAsia="es-MX"/>
            </w:rPr>
          </w:pPr>
          <w:hyperlink w:anchor="_Toc531602376" w:history="1">
            <w:r w:rsidR="00772781" w:rsidRPr="00772781">
              <w:rPr>
                <w:rStyle w:val="Hipervnculo"/>
                <w:rFonts w:eastAsia="Calibri"/>
                <w:sz w:val="24"/>
                <w:szCs w:val="24"/>
              </w:rPr>
              <w:t>V. Conclusión.</w:t>
            </w:r>
            <w:r w:rsidR="00772781" w:rsidRPr="00772781">
              <w:rPr>
                <w:webHidden/>
                <w:sz w:val="24"/>
                <w:szCs w:val="24"/>
              </w:rPr>
              <w:tab/>
            </w:r>
            <w:r w:rsidR="00772781" w:rsidRPr="00772781">
              <w:rPr>
                <w:webHidden/>
                <w:sz w:val="24"/>
                <w:szCs w:val="24"/>
              </w:rPr>
              <w:fldChar w:fldCharType="begin"/>
            </w:r>
            <w:r w:rsidR="00772781" w:rsidRPr="00772781">
              <w:rPr>
                <w:webHidden/>
                <w:sz w:val="24"/>
                <w:szCs w:val="24"/>
              </w:rPr>
              <w:instrText xml:space="preserve"> PAGEREF _Toc531602376 \h </w:instrText>
            </w:r>
            <w:r w:rsidR="00772781" w:rsidRPr="00772781">
              <w:rPr>
                <w:webHidden/>
                <w:sz w:val="24"/>
                <w:szCs w:val="24"/>
              </w:rPr>
            </w:r>
            <w:r w:rsidR="00772781" w:rsidRPr="00772781">
              <w:rPr>
                <w:webHidden/>
                <w:sz w:val="24"/>
                <w:szCs w:val="24"/>
              </w:rPr>
              <w:fldChar w:fldCharType="separate"/>
            </w:r>
            <w:r w:rsidR="007B6093">
              <w:rPr>
                <w:webHidden/>
                <w:sz w:val="24"/>
                <w:szCs w:val="24"/>
              </w:rPr>
              <w:t>17</w:t>
            </w:r>
            <w:r w:rsidR="00772781" w:rsidRPr="00772781">
              <w:rPr>
                <w:webHidden/>
                <w:sz w:val="24"/>
                <w:szCs w:val="24"/>
              </w:rPr>
              <w:fldChar w:fldCharType="end"/>
            </w:r>
          </w:hyperlink>
        </w:p>
        <w:p w:rsidR="00E6179D" w:rsidRPr="00772781" w:rsidRDefault="00E6179D" w:rsidP="00B73B30">
          <w:pPr>
            <w:spacing w:line="360" w:lineRule="auto"/>
            <w:rPr>
              <w:rFonts w:ascii="Palatino Linotype" w:hAnsi="Palatino Linotype"/>
              <w:sz w:val="24"/>
              <w:szCs w:val="24"/>
            </w:rPr>
          </w:pPr>
          <w:r w:rsidRPr="00772781">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31602372"/>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0131FD">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BB6D90">
        <w:rPr>
          <w:rFonts w:ascii="Palatino Linotype" w:eastAsia="Calibri" w:hAnsi="Palatino Linotype" w:cs="Arial"/>
          <w:sz w:val="24"/>
          <w:szCs w:val="24"/>
        </w:rPr>
        <w:t>Cuadragésima</w:t>
      </w:r>
      <w:r w:rsidR="000D2AD4">
        <w:rPr>
          <w:rFonts w:ascii="Palatino Linotype" w:eastAsia="Calibri" w:hAnsi="Palatino Linotype" w:cs="Arial"/>
          <w:sz w:val="24"/>
          <w:szCs w:val="24"/>
        </w:rPr>
        <w:t xml:space="preserve"> </w:t>
      </w:r>
      <w:r w:rsidR="00422BF0">
        <w:rPr>
          <w:rFonts w:ascii="Palatino Linotype" w:eastAsia="Calibri" w:hAnsi="Palatino Linotype" w:cs="Arial"/>
          <w:sz w:val="24"/>
          <w:szCs w:val="24"/>
        </w:rPr>
        <w:t>Cuarta</w:t>
      </w:r>
      <w:r w:rsidR="000D2AD4">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día </w:t>
      </w:r>
      <w:r w:rsidR="000131FD">
        <w:rPr>
          <w:rFonts w:ascii="Palatino Linotype" w:eastAsia="Calibri" w:hAnsi="Palatino Linotype" w:cs="Arial"/>
          <w:sz w:val="24"/>
          <w:szCs w:val="24"/>
        </w:rPr>
        <w:t>v</w:t>
      </w:r>
      <w:r w:rsidR="00422BF0">
        <w:rPr>
          <w:rFonts w:ascii="Palatino Linotype" w:eastAsia="Calibri" w:hAnsi="Palatino Linotype" w:cs="Arial"/>
          <w:sz w:val="24"/>
          <w:szCs w:val="24"/>
        </w:rPr>
        <w:t>eintiocho</w:t>
      </w:r>
      <w:r w:rsidRPr="00427B79">
        <w:rPr>
          <w:rFonts w:ascii="Palatino Linotype" w:eastAsia="Calibri" w:hAnsi="Palatino Linotype" w:cs="Arial"/>
          <w:sz w:val="24"/>
          <w:szCs w:val="24"/>
        </w:rPr>
        <w:t xml:space="preserve"> (</w:t>
      </w:r>
      <w:r w:rsidR="00422BF0">
        <w:rPr>
          <w:rFonts w:ascii="Palatino Linotype" w:eastAsia="Calibri" w:hAnsi="Palatino Linotype" w:cs="Arial"/>
          <w:sz w:val="24"/>
          <w:szCs w:val="24"/>
        </w:rPr>
        <w:t>28)</w:t>
      </w:r>
      <w:r w:rsidRPr="00427B79">
        <w:rPr>
          <w:rFonts w:ascii="Palatino Linotype" w:eastAsia="Calibri" w:hAnsi="Palatino Linotype" w:cs="Arial"/>
          <w:sz w:val="24"/>
          <w:szCs w:val="24"/>
        </w:rPr>
        <w:t xml:space="preserve"> de </w:t>
      </w:r>
      <w:r w:rsidR="000131FD">
        <w:rPr>
          <w:rFonts w:ascii="Palatino Linotype" w:eastAsia="Calibri" w:hAnsi="Palatino Linotype" w:cs="Arial"/>
          <w:sz w:val="24"/>
          <w:szCs w:val="24"/>
        </w:rPr>
        <w:t>noviembr</w:t>
      </w:r>
      <w:r w:rsidR="00930786">
        <w:rPr>
          <w:rFonts w:ascii="Palatino Linotype" w:eastAsia="Calibri" w:hAnsi="Palatino Linotype" w:cs="Arial"/>
          <w:sz w:val="24"/>
          <w:szCs w:val="24"/>
        </w:rPr>
        <w:t>e</w:t>
      </w:r>
      <w:r w:rsidR="008825D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 xml:space="preserve">dos mil </w:t>
      </w:r>
      <w:r w:rsidR="001F0E58">
        <w:rPr>
          <w:rFonts w:ascii="Palatino Linotype" w:eastAsia="Calibri" w:hAnsi="Palatino Linotype" w:cs="Arial"/>
          <w:sz w:val="24"/>
          <w:szCs w:val="24"/>
        </w:rPr>
        <w:lastRenderedPageBreak/>
        <w:t>dieciocho</w:t>
      </w:r>
      <w:r w:rsidRPr="00427B79">
        <w:rPr>
          <w:rFonts w:ascii="Palatino Linotype" w:eastAsia="Calibri" w:hAnsi="Palatino Linotype" w:cs="Arial"/>
          <w:sz w:val="24"/>
          <w:szCs w:val="24"/>
        </w:rPr>
        <w:t xml:space="preserve">, en el recurso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F776CD" w:rsidRPr="00F776CD">
        <w:rPr>
          <w:rFonts w:ascii="Palatino Linotype" w:hAnsi="Palatino Linotype"/>
          <w:b/>
        </w:rPr>
        <w:t xml:space="preserve"> </w:t>
      </w:r>
      <w:r w:rsidR="006E5F97">
        <w:rPr>
          <w:rFonts w:ascii="Palatino Linotype" w:hAnsi="Palatino Linotype"/>
        </w:rPr>
        <w:t>el</w:t>
      </w:r>
      <w:r w:rsidR="0051740A" w:rsidRPr="0051740A">
        <w:rPr>
          <w:rFonts w:ascii="Palatino Linotype" w:hAnsi="Palatino Linotype" w:cs="Arial"/>
          <w:b/>
          <w:sz w:val="24"/>
          <w:szCs w:val="24"/>
        </w:rPr>
        <w:t xml:space="preserve"> </w:t>
      </w:r>
      <w:r w:rsidR="00501444" w:rsidRPr="00501444">
        <w:rPr>
          <w:rFonts w:ascii="Palatino Linotype" w:hAnsi="Palatino Linotype" w:cs="Arial"/>
          <w:b/>
          <w:sz w:val="24"/>
          <w:szCs w:val="24"/>
          <w:highlight w:val="black"/>
        </w:rPr>
        <w:t>------------------------------------</w:t>
      </w:r>
      <w:bookmarkStart w:id="1" w:name="_GoBack"/>
      <w:bookmarkEnd w:id="1"/>
      <w:r w:rsidR="00554B28">
        <w:rPr>
          <w:rFonts w:ascii="Palatino Linotype" w:hAnsi="Palatino Linotype" w:cs="Arial"/>
          <w:b/>
        </w:rPr>
        <w:t>,</w:t>
      </w:r>
      <w:r w:rsidR="00436541">
        <w:rPr>
          <w:rFonts w:ascii="Palatino Linotype" w:hAnsi="Palatino Linotype"/>
          <w:b/>
          <w:lang w:val="es-ES_tradnl"/>
        </w:rPr>
        <w:t xml:space="preserve"> </w:t>
      </w:r>
      <w:r w:rsidR="003E0648">
        <w:rPr>
          <w:rFonts w:ascii="Palatino Linotype" w:eastAsia="Calibri" w:hAnsi="Palatino Linotype" w:cs="Arial"/>
          <w:sz w:val="24"/>
          <w:szCs w:val="24"/>
        </w:rPr>
        <w:t>en contra de la respuesta</w:t>
      </w:r>
      <w:r w:rsidR="0036141D">
        <w:rPr>
          <w:rFonts w:ascii="Palatino Linotype" w:eastAsia="Calibri" w:hAnsi="Palatino Linotype" w:cs="Arial"/>
          <w:sz w:val="24"/>
          <w:szCs w:val="24"/>
        </w:rPr>
        <w:t xml:space="preserve"> de</w:t>
      </w:r>
      <w:r w:rsidR="00422BF0">
        <w:rPr>
          <w:rFonts w:ascii="Palatino Linotype" w:eastAsia="Calibri" w:hAnsi="Palatino Linotype" w:cs="Arial"/>
          <w:sz w:val="24"/>
          <w:szCs w:val="24"/>
        </w:rPr>
        <w:t>l</w:t>
      </w:r>
      <w:r w:rsidR="00422BF0" w:rsidRPr="00422BF0">
        <w:rPr>
          <w:rFonts w:ascii="Palatino Linotype" w:hAnsi="Palatino Linotype" w:cs="Arial"/>
          <w:b/>
          <w:sz w:val="24"/>
        </w:rPr>
        <w:t xml:space="preserve"> </w:t>
      </w:r>
      <w:r w:rsidR="00422BF0" w:rsidRPr="00CF598D">
        <w:rPr>
          <w:rFonts w:ascii="Palatino Linotype" w:hAnsi="Palatino Linotype" w:cs="Arial"/>
          <w:b/>
          <w:sz w:val="24"/>
        </w:rPr>
        <w:t>Ayuntamiento de Metepec</w:t>
      </w:r>
      <w:r w:rsidR="00436541" w:rsidRPr="004D379F">
        <w:rPr>
          <w:rFonts w:ascii="Palatino Linotype" w:hAnsi="Palatino Linotype" w:cs="Arial"/>
        </w:rPr>
        <w:t>,</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422BF0">
        <w:rPr>
          <w:rFonts w:ascii="Palatino Linotype" w:hAnsi="Palatino Linotype" w:cs="Arial"/>
          <w:b/>
          <w:bCs/>
          <w:sz w:val="23"/>
          <w:szCs w:val="23"/>
        </w:rPr>
        <w:t>3900</w:t>
      </w:r>
      <w:r w:rsidR="00EF3EA6" w:rsidRPr="006D3D71">
        <w:rPr>
          <w:rFonts w:ascii="Palatino Linotype" w:hAnsi="Palatino Linotype" w:cs="Arial"/>
          <w:b/>
          <w:bCs/>
          <w:sz w:val="23"/>
          <w:szCs w:val="23"/>
        </w:rPr>
        <w:t>/INFOEM/IP/RR/2018</w:t>
      </w:r>
      <w:r w:rsidR="00F776CD">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422BF0">
        <w:rPr>
          <w:rFonts w:ascii="Palatino Linotype" w:eastAsia="Calibri" w:hAnsi="Palatino Linotype" w:cs="Arial"/>
          <w:b/>
          <w:sz w:val="24"/>
          <w:szCs w:val="24"/>
        </w:rPr>
        <w:t>ORDENAR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531602373"/>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930786" w:rsidRDefault="00E6179D" w:rsidP="00930786">
      <w:pPr>
        <w:spacing w:line="360" w:lineRule="auto"/>
        <w:ind w:left="851" w:right="850"/>
        <w:jc w:val="both"/>
        <w:rPr>
          <w:rFonts w:ascii="Palatino Linotype" w:hAnsi="Palatino Linotype"/>
          <w:i/>
          <w:lang w:val="es-ES_tradnl"/>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5C253D" w:rsidRPr="005C253D">
        <w:rPr>
          <w:rFonts w:ascii="Palatino Linotype" w:eastAsia="Calibri" w:hAnsi="Palatino Linotype" w:cs="Arial"/>
          <w:sz w:val="24"/>
          <w:szCs w:val="24"/>
        </w:rPr>
        <w:t xml:space="preserve"> </w:t>
      </w:r>
      <w:r w:rsidR="00422BF0">
        <w:rPr>
          <w:rFonts w:ascii="Palatino Linotype" w:eastAsia="Calibri" w:hAnsi="Palatino Linotype" w:cs="Arial"/>
          <w:sz w:val="24"/>
          <w:szCs w:val="24"/>
        </w:rPr>
        <w:t>el</w:t>
      </w:r>
      <w:r w:rsidR="00422BF0" w:rsidRPr="00422BF0">
        <w:rPr>
          <w:rFonts w:ascii="Palatino Linotype" w:hAnsi="Palatino Linotype" w:cs="Arial"/>
          <w:b/>
          <w:sz w:val="24"/>
        </w:rPr>
        <w:t xml:space="preserve"> </w:t>
      </w:r>
      <w:r w:rsidR="00422BF0" w:rsidRPr="00CF598D">
        <w:rPr>
          <w:rFonts w:ascii="Palatino Linotype" w:hAnsi="Palatino Linotype" w:cs="Arial"/>
          <w:b/>
          <w:sz w:val="24"/>
        </w:rPr>
        <w:t>Ayuntamiento de Metepec</w:t>
      </w:r>
      <w:r w:rsidR="003B6B7C">
        <w:rPr>
          <w:rFonts w:ascii="Palatino Linotype" w:hAnsi="Palatino Linotype" w:cs="Arial"/>
          <w:b/>
          <w:sz w:val="24"/>
          <w:szCs w:val="24"/>
        </w:rPr>
        <w:t xml:space="preserve">, </w:t>
      </w:r>
      <w:r w:rsidR="00C752C4">
        <w:rPr>
          <w:rFonts w:ascii="Palatino Linotype" w:hAnsi="Palatino Linotype" w:cs="Arial"/>
        </w:rPr>
        <w:t xml:space="preserve"> </w:t>
      </w:r>
      <w:r w:rsidR="00466F4A">
        <w:rPr>
          <w:rFonts w:ascii="Palatino Linotype" w:eastAsia="Calibri" w:hAnsi="Palatino Linotype" w:cs="Times New Roman"/>
          <w:sz w:val="24"/>
          <w:szCs w:val="24"/>
        </w:rPr>
        <w:t>en dicha</w:t>
      </w:r>
      <w:r w:rsidR="005C0258">
        <w:rPr>
          <w:rFonts w:ascii="Palatino Linotype" w:eastAsia="Calibri" w:hAnsi="Palatino Linotype" w:cs="Times New Roman"/>
          <w:sz w:val="24"/>
          <w:szCs w:val="24"/>
        </w:rPr>
        <w:t xml:space="preserve">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6262ED">
        <w:rPr>
          <w:rFonts w:ascii="Palatino Linotype" w:eastAsia="Calibri" w:hAnsi="Palatino Linotype" w:cs="Times New Roman"/>
          <w:sz w:val="24"/>
          <w:szCs w:val="24"/>
        </w:rPr>
        <w:t>:</w:t>
      </w:r>
      <w:r w:rsidR="006F081D" w:rsidRPr="006F081D">
        <w:rPr>
          <w:rFonts w:ascii="Palatino Linotype" w:hAnsi="Palatino Linotype"/>
          <w:i/>
          <w:lang w:val="es-ES_tradnl"/>
        </w:rPr>
        <w:t xml:space="preserve"> </w:t>
      </w:r>
    </w:p>
    <w:p w:rsidR="00422BF0" w:rsidRPr="00DE246E" w:rsidRDefault="00422BF0" w:rsidP="00422BF0">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Pr="00CF598D">
        <w:rPr>
          <w:rFonts w:ascii="Palatino Linotype" w:eastAsia="Times New Roman" w:hAnsi="Palatino Linotype" w:cs="Times New Roman"/>
          <w:i/>
          <w:lang w:val="es-ES_tradnl" w:eastAsia="es-ES"/>
        </w:rPr>
        <w:t xml:space="preserve">Solicito la nómina de las dos quincenas de marzo 2018, con el nombre de cada servidor público y funcionario, su sueldo y salario bruto sin excedentes o compensaciones. Solicito la nómina de las dos quincenas de marzo 2018, con el </w:t>
      </w:r>
      <w:r w:rsidRPr="00CF598D">
        <w:rPr>
          <w:rFonts w:ascii="Palatino Linotype" w:eastAsia="Times New Roman" w:hAnsi="Palatino Linotype" w:cs="Times New Roman"/>
          <w:i/>
          <w:lang w:val="es-ES_tradnl" w:eastAsia="es-ES"/>
        </w:rPr>
        <w:lastRenderedPageBreak/>
        <w:t>nombre de cada servidor público y funcionario y todos los conceptos que forman parte del sobresueldo, compensaciones, horas extras, comisiones, apoyos escolares, vales, apoyos en general, excedentes y similares de cada persona en la nómina, lista de raya, sindicalizados, personal de confianza, policía y similares.</w:t>
      </w:r>
      <w:r w:rsidRPr="00DE246E">
        <w:rPr>
          <w:rFonts w:ascii="Palatino Linotype" w:eastAsia="Times New Roman" w:hAnsi="Palatino Linotype" w:cs="Times New Roman"/>
          <w:i/>
          <w:lang w:val="es-ES_tradnl" w:eastAsia="es-ES"/>
        </w:rPr>
        <w:t>” [Sic]</w:t>
      </w:r>
    </w:p>
    <w:p w:rsidR="00422BF0" w:rsidRDefault="00422BF0" w:rsidP="00930786">
      <w:pPr>
        <w:spacing w:line="360" w:lineRule="auto"/>
        <w:ind w:left="851" w:right="850"/>
        <w:jc w:val="both"/>
        <w:rPr>
          <w:rFonts w:ascii="Palatino Linotype" w:eastAsia="Times New Roman" w:hAnsi="Palatino Linotype" w:cs="Times New Roman"/>
          <w:i/>
          <w:lang w:val="es-ES_tradnl" w:eastAsia="es-ES"/>
        </w:rPr>
      </w:pPr>
    </w:p>
    <w:p w:rsidR="000E4D6E" w:rsidRPr="00B821C2" w:rsidRDefault="00E6179D" w:rsidP="00422BF0">
      <w:pPr>
        <w:pStyle w:val="Prrafodelista"/>
        <w:numPr>
          <w:ilvl w:val="0"/>
          <w:numId w:val="1"/>
        </w:numPr>
        <w:spacing w:before="120" w:after="120" w:line="360" w:lineRule="auto"/>
        <w:ind w:right="49"/>
        <w:jc w:val="both"/>
        <w:rPr>
          <w:rFonts w:ascii="Palatino Linotype" w:eastAsia="Calibri" w:hAnsi="Palatino Linotype" w:cs="Arial"/>
          <w:sz w:val="24"/>
          <w:szCs w:val="24"/>
        </w:rPr>
      </w:pPr>
      <w:r w:rsidRPr="00B821C2">
        <w:rPr>
          <w:rFonts w:ascii="Palatino Linotype" w:eastAsia="Calibri" w:hAnsi="Palatino Linotype" w:cs="Arial"/>
          <w:sz w:val="24"/>
          <w:szCs w:val="24"/>
        </w:rPr>
        <w:t xml:space="preserve">Bajo esas consideraciones la Ponencia </w:t>
      </w:r>
      <w:r w:rsidR="00FD1FAD" w:rsidRPr="00B821C2">
        <w:rPr>
          <w:rFonts w:ascii="Palatino Linotype" w:eastAsia="Calibri" w:hAnsi="Palatino Linotype" w:cs="Arial"/>
          <w:sz w:val="24"/>
          <w:szCs w:val="24"/>
        </w:rPr>
        <w:t>que resuelve el recurso de revisión</w:t>
      </w:r>
      <w:r w:rsidRPr="00B821C2">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B821C2">
        <w:rPr>
          <w:rFonts w:ascii="Palatino Linotype" w:eastAsia="Calibri" w:hAnsi="Palatino Linotype" w:cs="Arial"/>
          <w:sz w:val="24"/>
          <w:szCs w:val="24"/>
        </w:rPr>
        <w:t>verificar si existe fu</w:t>
      </w:r>
      <w:r w:rsidR="003E0648" w:rsidRPr="00B821C2">
        <w:rPr>
          <w:rFonts w:ascii="Palatino Linotype" w:eastAsia="Calibri" w:hAnsi="Palatino Linotype" w:cs="Arial"/>
          <w:sz w:val="24"/>
          <w:szCs w:val="24"/>
        </w:rPr>
        <w:t xml:space="preserve">ente obligacional por parte </w:t>
      </w:r>
      <w:r w:rsidR="00422BF0" w:rsidRPr="00B821C2">
        <w:rPr>
          <w:rFonts w:ascii="Palatino Linotype" w:eastAsia="Calibri" w:hAnsi="Palatino Linotype" w:cs="Arial"/>
          <w:sz w:val="24"/>
          <w:szCs w:val="24"/>
        </w:rPr>
        <w:t>de</w:t>
      </w:r>
      <w:r w:rsidR="00422BF0">
        <w:rPr>
          <w:rFonts w:ascii="Palatino Linotype" w:eastAsia="Calibri" w:hAnsi="Palatino Linotype" w:cs="Arial"/>
          <w:sz w:val="24"/>
          <w:szCs w:val="24"/>
        </w:rPr>
        <w:t xml:space="preserve">l </w:t>
      </w:r>
      <w:r w:rsidR="00422BF0" w:rsidRPr="00422BF0">
        <w:rPr>
          <w:rFonts w:ascii="Palatino Linotype" w:eastAsia="Calibri" w:hAnsi="Palatino Linotype" w:cs="Arial"/>
          <w:b/>
          <w:sz w:val="24"/>
          <w:szCs w:val="24"/>
        </w:rPr>
        <w:t>Ayuntamiento de Metepec,</w:t>
      </w:r>
      <w:r w:rsidR="00422BF0">
        <w:rPr>
          <w:rFonts w:ascii="Palatino Linotype" w:eastAsia="Calibri" w:hAnsi="Palatino Linotype" w:cs="Arial"/>
          <w:sz w:val="24"/>
          <w:szCs w:val="24"/>
        </w:rPr>
        <w:t xml:space="preserve"> </w:t>
      </w:r>
      <w:r w:rsidR="00C752C4" w:rsidRPr="00B821C2">
        <w:rPr>
          <w:rFonts w:ascii="Palatino Linotype" w:eastAsiaTheme="minorEastAsia" w:hAnsi="Palatino Linotype" w:cs="Arial"/>
          <w:b/>
        </w:rPr>
        <w:t xml:space="preserve"> </w:t>
      </w:r>
      <w:r w:rsidR="00FD1FAD" w:rsidRPr="00B821C2">
        <w:rPr>
          <w:rFonts w:ascii="Palatino Linotype" w:eastAsia="Calibri" w:hAnsi="Palatino Linotype" w:cs="Arial"/>
          <w:sz w:val="24"/>
          <w:szCs w:val="24"/>
        </w:rPr>
        <w:t xml:space="preserve">y así ordenar que se realice una búsqueda exhaustiva en los archivos </w:t>
      </w:r>
      <w:r w:rsidR="00B16CE1" w:rsidRPr="00B821C2">
        <w:rPr>
          <w:rFonts w:ascii="Palatino Linotype" w:eastAsia="Calibri" w:hAnsi="Palatino Linotype" w:cs="Arial"/>
          <w:sz w:val="24"/>
          <w:szCs w:val="24"/>
        </w:rPr>
        <w:t xml:space="preserve">del </w:t>
      </w:r>
      <w:r w:rsidR="00FD1FAD" w:rsidRPr="00B821C2">
        <w:rPr>
          <w:rFonts w:ascii="Palatino Linotype" w:eastAsia="Calibri" w:hAnsi="Palatino Linotype" w:cs="Arial"/>
          <w:b/>
          <w:sz w:val="24"/>
          <w:szCs w:val="24"/>
        </w:rPr>
        <w:t>SUJETO OBLIGADO</w:t>
      </w:r>
      <w:r w:rsidR="0006430D" w:rsidRPr="00B821C2">
        <w:rPr>
          <w:rFonts w:ascii="Palatino Linotype" w:eastAsia="Calibri" w:hAnsi="Palatino Linotype" w:cs="Arial"/>
          <w:b/>
          <w:sz w:val="24"/>
          <w:szCs w:val="24"/>
        </w:rPr>
        <w:t>.</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B821C2" w:rsidRPr="006D3CE1" w:rsidRDefault="00480F5B" w:rsidP="00B821C2">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5C253D">
        <w:rPr>
          <w:rFonts w:ascii="Palatino Linotype" w:hAnsi="Palatino Linotype" w:cs="Arial"/>
          <w:b/>
          <w:sz w:val="24"/>
          <w:szCs w:val="24"/>
        </w:rPr>
        <w:t xml:space="preserve"> a</w:t>
      </w:r>
      <w:r w:rsidR="00422BF0">
        <w:rPr>
          <w:rFonts w:ascii="Palatino Linotype" w:hAnsi="Palatino Linotype" w:cs="Arial"/>
          <w:b/>
          <w:sz w:val="24"/>
          <w:szCs w:val="24"/>
        </w:rPr>
        <w:t xml:space="preserve">l </w:t>
      </w:r>
      <w:r w:rsidR="005C253D">
        <w:rPr>
          <w:rFonts w:ascii="Palatino Linotype" w:hAnsi="Palatino Linotype" w:cs="Arial"/>
          <w:b/>
          <w:sz w:val="24"/>
          <w:szCs w:val="24"/>
        </w:rPr>
        <w:t xml:space="preserve"> </w:t>
      </w:r>
      <w:r w:rsidR="00422BF0" w:rsidRPr="00422BF0">
        <w:rPr>
          <w:rFonts w:ascii="Palatino Linotype" w:eastAsia="Calibri" w:hAnsi="Palatino Linotype" w:cs="Arial"/>
          <w:b/>
          <w:sz w:val="24"/>
          <w:szCs w:val="24"/>
        </w:rPr>
        <w:t>Ayuntamiento de Metepec</w:t>
      </w:r>
      <w:r w:rsidR="005C253D" w:rsidRPr="005C253D">
        <w:rPr>
          <w:rFonts w:ascii="Palatino Linotype" w:hAnsi="Palatino Linotype" w:cs="Arial"/>
          <w:b/>
          <w:sz w:val="24"/>
          <w:szCs w:val="24"/>
        </w:rPr>
        <w:t xml:space="preserve"> </w:t>
      </w:r>
      <w:r w:rsidR="0006430D" w:rsidRPr="00CE55B7">
        <w:rPr>
          <w:rFonts w:ascii="Palatino Linotype" w:hAnsi="Palatino Linotype" w:cs="Arial"/>
          <w:b/>
          <w:sz w:val="24"/>
          <w:szCs w:val="24"/>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r w:rsidR="00423C67">
        <w:rPr>
          <w:rFonts w:ascii="Palatino Linotype" w:hAnsi="Palatino Linotype" w:cs="Arial"/>
          <w:sz w:val="24"/>
          <w:lang w:eastAsia="es-MX"/>
        </w:rPr>
        <w:t xml:space="preserve"> </w:t>
      </w:r>
    </w:p>
    <w:p w:rsidR="00422BF0" w:rsidRPr="00422BF0" w:rsidRDefault="00422BF0" w:rsidP="00422BF0">
      <w:pPr>
        <w:pStyle w:val="Prrafodelista"/>
        <w:rPr>
          <w:rFonts w:ascii="Palatino Linotype" w:hAnsi="Palatino Linotype"/>
          <w:i/>
          <w:sz w:val="24"/>
          <w:szCs w:val="24"/>
        </w:rPr>
      </w:pPr>
      <w:r w:rsidRPr="00422BF0">
        <w:rPr>
          <w:rFonts w:ascii="Palatino Linotype" w:hAnsi="Palatino Linotype"/>
          <w:i/>
          <w:sz w:val="24"/>
          <w:szCs w:val="24"/>
        </w:rPr>
        <w:t>a)</w:t>
      </w:r>
      <w:r w:rsidRPr="00422BF0">
        <w:rPr>
          <w:rFonts w:ascii="Palatino Linotype" w:hAnsi="Palatino Linotype"/>
          <w:i/>
          <w:sz w:val="24"/>
          <w:szCs w:val="24"/>
        </w:rPr>
        <w:tab/>
        <w:t>El o los documentos en donde consten el sueldo, salario bruto sin excedentes o compensaciones, prestaciones, gratificaciones, primas, comisiones, dietas, bonos, estímulos, ingresos y sistemas de compensación, otorgados por el periodo del primero al treinta y uno de marzo de dos mil dieciocho, respecto de todos los servidores públicos adscritos al sujeto obligado.</w:t>
      </w:r>
    </w:p>
    <w:p w:rsidR="00422BF0" w:rsidRPr="00422BF0" w:rsidRDefault="00422BF0" w:rsidP="00422BF0">
      <w:pPr>
        <w:pStyle w:val="Prrafodelista"/>
        <w:rPr>
          <w:rFonts w:ascii="Palatino Linotype" w:hAnsi="Palatino Linotype"/>
          <w:i/>
          <w:sz w:val="24"/>
          <w:szCs w:val="24"/>
        </w:rPr>
      </w:pPr>
      <w:r w:rsidRPr="00422BF0">
        <w:rPr>
          <w:rFonts w:ascii="Palatino Linotype" w:hAnsi="Palatino Linotype"/>
          <w:i/>
          <w:sz w:val="24"/>
          <w:szCs w:val="24"/>
        </w:rPr>
        <w:t>b)</w:t>
      </w:r>
      <w:r w:rsidRPr="00422BF0">
        <w:rPr>
          <w:rFonts w:ascii="Palatino Linotype" w:hAnsi="Palatino Linotype"/>
          <w:i/>
          <w:sz w:val="24"/>
          <w:szCs w:val="24"/>
        </w:rPr>
        <w:tab/>
        <w:t xml:space="preserve">Lista de raya por el periodo del primero al treinta y uno de marzo de dos mil dieciocho.  </w:t>
      </w:r>
    </w:p>
    <w:p w:rsidR="00422BF0" w:rsidRPr="00422BF0" w:rsidRDefault="00422BF0" w:rsidP="00422BF0">
      <w:pPr>
        <w:pStyle w:val="Prrafodelista"/>
        <w:rPr>
          <w:rFonts w:ascii="Palatino Linotype" w:hAnsi="Palatino Linotype"/>
          <w:i/>
          <w:sz w:val="24"/>
          <w:szCs w:val="24"/>
        </w:rPr>
      </w:pPr>
      <w:r w:rsidRPr="00422BF0">
        <w:rPr>
          <w:rFonts w:ascii="Palatino Linotype" w:hAnsi="Palatino Linotype"/>
          <w:i/>
          <w:sz w:val="24"/>
          <w:szCs w:val="24"/>
        </w:rPr>
        <w:lastRenderedPageBreak/>
        <w:t xml:space="preserve">Para el caso de que El Sujeto Obligado no haya generado la información relativa al inciso b), bastará con que lo haga del conocimiento del Recurrente al momento de dar cumplimiento a la presente resolución. </w:t>
      </w:r>
    </w:p>
    <w:p w:rsidR="005C253D" w:rsidRDefault="00422BF0" w:rsidP="00422BF0">
      <w:pPr>
        <w:pStyle w:val="Prrafodelista"/>
        <w:rPr>
          <w:rFonts w:ascii="Palatino Linotype" w:hAnsi="Palatino Linotype"/>
          <w:i/>
          <w:sz w:val="24"/>
          <w:szCs w:val="24"/>
        </w:rPr>
      </w:pPr>
      <w:r w:rsidRPr="00422BF0">
        <w:rPr>
          <w:rFonts w:ascii="Palatino Linotype" w:hAnsi="Palatino Linotype"/>
          <w:i/>
          <w:sz w:val="24"/>
          <w:szCs w:val="24"/>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422BF0" w:rsidRPr="00422BF0" w:rsidRDefault="00422BF0" w:rsidP="00422BF0">
      <w:pPr>
        <w:pStyle w:val="Prrafodelista"/>
        <w:rPr>
          <w:rFonts w:ascii="Palatino Linotype" w:hAnsi="Palatino Linotype"/>
          <w:i/>
          <w:sz w:val="24"/>
          <w:szCs w:val="24"/>
        </w:rPr>
      </w:pPr>
    </w:p>
    <w:p w:rsidR="005C253D" w:rsidRPr="005C253D" w:rsidRDefault="00594E5C" w:rsidP="005C253D">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Sin embargo esta ponencia observó que la resolución puntualmente indica lo </w:t>
      </w:r>
      <w:r w:rsidRPr="002A071E">
        <w:rPr>
          <w:rFonts w:ascii="Palatino Linotype" w:eastAsia="Times New Roman" w:hAnsi="Palatino Linotype" w:cs="Arial"/>
          <w:sz w:val="24"/>
        </w:rPr>
        <w:t>siguiente</w:t>
      </w:r>
      <w:r w:rsidR="00434E1A" w:rsidRPr="002A071E">
        <w:rPr>
          <w:rFonts w:ascii="Palatino Linotype" w:eastAsia="Times New Roman" w:hAnsi="Palatino Linotype" w:cs="Arial"/>
          <w:sz w:val="24"/>
        </w:rPr>
        <w:t xml:space="preserve"> respecto </w:t>
      </w:r>
      <w:r w:rsidR="00F67DF2" w:rsidRPr="002A071E">
        <w:rPr>
          <w:rFonts w:ascii="Palatino Linotype" w:eastAsia="Times New Roman" w:hAnsi="Palatino Linotype" w:cs="Arial"/>
          <w:sz w:val="24"/>
        </w:rPr>
        <w:t xml:space="preserve"> </w:t>
      </w:r>
      <w:r w:rsidR="006E5F97">
        <w:rPr>
          <w:rFonts w:ascii="Palatino Linotype" w:eastAsia="Times New Roman" w:hAnsi="Palatino Linotype" w:cs="Arial"/>
          <w:sz w:val="24"/>
        </w:rPr>
        <w:t>a</w:t>
      </w:r>
      <w:r w:rsidR="00B821C2">
        <w:rPr>
          <w:rFonts w:ascii="Palatino Linotype" w:eastAsia="Times New Roman" w:hAnsi="Palatino Linotype" w:cs="Arial"/>
          <w:sz w:val="24"/>
        </w:rPr>
        <w:t>l</w:t>
      </w:r>
      <w:r w:rsidR="006E5F97">
        <w:rPr>
          <w:rFonts w:ascii="Palatino Linotype" w:eastAsia="Times New Roman" w:hAnsi="Palatino Linotype" w:cs="Arial"/>
          <w:sz w:val="24"/>
        </w:rPr>
        <w:t xml:space="preserve"> </w:t>
      </w:r>
      <w:r w:rsidR="00422BF0">
        <w:rPr>
          <w:rFonts w:ascii="Palatino Linotype" w:eastAsia="Times New Roman" w:hAnsi="Palatino Linotype" w:cs="Arial"/>
          <w:sz w:val="24"/>
        </w:rPr>
        <w:t>inciso b</w:t>
      </w:r>
      <w:r w:rsidR="002A071E" w:rsidRPr="002A071E">
        <w:rPr>
          <w:rFonts w:ascii="Palatino Linotype" w:eastAsia="Times New Roman" w:hAnsi="Palatino Linotype" w:cs="Arial"/>
          <w:sz w:val="24"/>
        </w:rPr>
        <w:t xml:space="preserve">): </w:t>
      </w:r>
    </w:p>
    <w:p w:rsidR="00422BF0" w:rsidRDefault="00422BF0" w:rsidP="005C253D">
      <w:pPr>
        <w:pStyle w:val="Prrafodelista"/>
        <w:spacing w:before="240" w:after="240" w:line="360" w:lineRule="auto"/>
        <w:ind w:left="0" w:right="49"/>
        <w:jc w:val="both"/>
        <w:rPr>
          <w:rFonts w:ascii="Palatino Linotype" w:eastAsia="Times New Roman" w:hAnsi="Palatino Linotype" w:cs="Arial"/>
          <w:i/>
          <w:sz w:val="24"/>
        </w:rPr>
      </w:pPr>
    </w:p>
    <w:p w:rsidR="005C253D" w:rsidRPr="00B821C2" w:rsidRDefault="00422BF0" w:rsidP="005C253D">
      <w:pPr>
        <w:pStyle w:val="Prrafodelista"/>
        <w:spacing w:before="240" w:after="240" w:line="360" w:lineRule="auto"/>
        <w:ind w:left="0" w:right="49"/>
        <w:jc w:val="both"/>
        <w:rPr>
          <w:rFonts w:ascii="Palatino Linotype" w:eastAsia="Times New Roman" w:hAnsi="Palatino Linotype" w:cs="Arial"/>
          <w:i/>
          <w:sz w:val="24"/>
        </w:rPr>
      </w:pPr>
      <w:r w:rsidRPr="00422BF0">
        <w:rPr>
          <w:rFonts w:ascii="Palatino Linotype" w:eastAsia="Times New Roman" w:hAnsi="Palatino Linotype" w:cs="Arial"/>
          <w:i/>
          <w:sz w:val="24"/>
        </w:rPr>
        <w:t>Para el caso de que El Sujeto Obligado no haya generado la información relativa al inciso b), bastará con que lo haga del conocimiento del Recurrente al momento de dar cumplimiento a la presente resolución.</w:t>
      </w:r>
    </w:p>
    <w:p w:rsidR="00422BF0" w:rsidRPr="00422BF0" w:rsidRDefault="00422BF0" w:rsidP="00422BF0">
      <w:pPr>
        <w:pStyle w:val="Prrafodelista"/>
        <w:spacing w:before="240" w:after="240" w:line="360" w:lineRule="auto"/>
        <w:ind w:left="0" w:right="49"/>
        <w:jc w:val="both"/>
        <w:rPr>
          <w:rFonts w:ascii="Palatino Linotype" w:eastAsia="Times New Roman" w:hAnsi="Palatino Linotype" w:cs="Arial"/>
          <w:i/>
          <w:sz w:val="24"/>
        </w:rPr>
      </w:pPr>
    </w:p>
    <w:p w:rsidR="00C602B8" w:rsidRPr="005C253D" w:rsidRDefault="00594E5C" w:rsidP="005C253D">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5C253D">
        <w:rPr>
          <w:rFonts w:ascii="Palatino Linotype" w:eastAsia="Times New Roman" w:hAnsi="Palatino Linotype" w:cs="Arial"/>
          <w:sz w:val="24"/>
        </w:rPr>
        <w:t xml:space="preserve">Por esa razón, el ponente se </w:t>
      </w:r>
      <w:r w:rsidR="00C602B8" w:rsidRPr="005C253D">
        <w:rPr>
          <w:rFonts w:ascii="Palatino Linotype" w:eastAsia="Times New Roman" w:hAnsi="Palatino Linotype" w:cs="Arial"/>
          <w:sz w:val="24"/>
        </w:rPr>
        <w:t>manifestó al</w:t>
      </w:r>
      <w:r w:rsidRPr="005C253D">
        <w:rPr>
          <w:rFonts w:ascii="Palatino Linotype" w:eastAsia="Times New Roman" w:hAnsi="Palatino Linotype" w:cs="Arial"/>
          <w:sz w:val="24"/>
        </w:rPr>
        <w:t xml:space="preserve"> respecto enfatizando que en </w:t>
      </w:r>
      <w:r w:rsidR="008216B4" w:rsidRPr="005C253D">
        <w:rPr>
          <w:rFonts w:ascii="Palatino Linotype" w:eastAsia="Times New Roman" w:hAnsi="Palatino Linotype" w:cs="Arial"/>
          <w:sz w:val="24"/>
        </w:rPr>
        <w:t xml:space="preserve">el caso de que el </w:t>
      </w:r>
      <w:r w:rsidR="008216B4" w:rsidRPr="005C253D">
        <w:rPr>
          <w:rFonts w:ascii="Palatino Linotype" w:eastAsia="Times New Roman" w:hAnsi="Palatino Linotype" w:cs="Arial"/>
          <w:b/>
          <w:sz w:val="24"/>
        </w:rPr>
        <w:t xml:space="preserve">SUJETO OBLIGADO </w:t>
      </w:r>
      <w:r w:rsidR="008216B4" w:rsidRPr="005C253D">
        <w:rPr>
          <w:rFonts w:ascii="Palatino Linotype" w:eastAsia="Times New Roman" w:hAnsi="Palatino Linotype" w:cs="Arial"/>
          <w:sz w:val="24"/>
        </w:rPr>
        <w:t>no cuente con la información</w:t>
      </w:r>
      <w:r w:rsidRPr="005C253D">
        <w:rPr>
          <w:rFonts w:ascii="Palatino Linotype" w:eastAsia="Times New Roman" w:hAnsi="Palatino Linotype" w:cs="Arial"/>
          <w:sz w:val="24"/>
        </w:rPr>
        <w:t>,</w:t>
      </w:r>
      <w:r w:rsidR="008216B4" w:rsidRPr="005C253D">
        <w:rPr>
          <w:rFonts w:ascii="Palatino Linotype" w:eastAsia="Times New Roman" w:hAnsi="Palatino Linotype" w:cs="Arial"/>
          <w:sz w:val="24"/>
        </w:rPr>
        <w:t xml:space="preserve"> bastará con que se pronuncie al respecto y lo haga del conocimiento del particular.</w:t>
      </w: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531602374"/>
      <w:r w:rsidRPr="00427B79">
        <w:rPr>
          <w:b/>
          <w:szCs w:val="24"/>
        </w:rPr>
        <w:lastRenderedPageBreak/>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Es necesario precisar que la transparencia es un principio jurídico que se concreta especialmente en el derecho fundamental de acceder a la información pública y que la aplicación del principio de transparencia y el respeto y garantía del </w:t>
      </w:r>
      <w:r w:rsidRPr="00427B79">
        <w:rPr>
          <w:rFonts w:ascii="Palatino Linotype" w:hAnsi="Palatino Linotype"/>
          <w:sz w:val="24"/>
          <w:szCs w:val="24"/>
        </w:rPr>
        <w:lastRenderedPageBreak/>
        <w:t>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 xml:space="preserve">preservar sus documentos en archivos administrativos actualizados y publicarán a través de </w:t>
      </w:r>
      <w:r w:rsidRPr="00D35B4C">
        <w:rPr>
          <w:rFonts w:ascii="Palatino Linotype" w:hAnsi="Palatino Linotype"/>
          <w:bCs/>
          <w:color w:val="000000" w:themeColor="text1"/>
          <w:sz w:val="24"/>
          <w:szCs w:val="24"/>
        </w:rPr>
        <w:lastRenderedPageBreak/>
        <w:t>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31602375"/>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7B6093">
      <w:pPr>
        <w:spacing w:after="0" w:line="24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7B6093">
      <w:pPr>
        <w:spacing w:after="0" w:line="24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7B6093">
      <w:pPr>
        <w:spacing w:after="0" w:line="24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7B6093">
      <w:pPr>
        <w:spacing w:after="0" w:line="24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7B6093">
      <w:pPr>
        <w:spacing w:after="0" w:line="24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7B6093">
      <w:pPr>
        <w:spacing w:after="0" w:line="24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7B6093">
      <w:pPr>
        <w:spacing w:after="0" w:line="24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artículo 19 </w:t>
      </w:r>
      <w:r w:rsidRPr="00427B79">
        <w:rPr>
          <w:rFonts w:ascii="Palatino Linotype" w:eastAsia="Calibri" w:hAnsi="Palatino Linotype" w:cs="Arial"/>
          <w:sz w:val="24"/>
          <w:szCs w:val="24"/>
          <w:u w:val="single"/>
        </w:rPr>
        <w:lastRenderedPageBreak/>
        <w:t>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7B6093">
      <w:pPr>
        <w:spacing w:after="0" w:line="240" w:lineRule="auto"/>
        <w:ind w:left="567" w:right="618"/>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7B6093">
      <w:pPr>
        <w:spacing w:after="0" w:line="240" w:lineRule="auto"/>
        <w:ind w:left="567" w:right="618"/>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7B6093">
      <w:pPr>
        <w:autoSpaceDE w:val="0"/>
        <w:autoSpaceDN w:val="0"/>
        <w:adjustRightInd w:val="0"/>
        <w:spacing w:after="0" w:line="240" w:lineRule="auto"/>
        <w:ind w:left="567" w:right="618"/>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83488C">
        <w:rPr>
          <w:rFonts w:ascii="Palatino Linotype" w:hAnsi="Palatino Linotype" w:cs="Times New Roman"/>
          <w:i/>
        </w:rPr>
        <w:t>subincisos</w:t>
      </w:r>
      <w:proofErr w:type="spellEnd"/>
      <w:r w:rsidRPr="0083488C">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483418"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483418" w:rsidRDefault="00483418" w:rsidP="00483418">
      <w:pPr>
        <w:pStyle w:val="Prrafodelista"/>
        <w:rPr>
          <w:rFonts w:ascii="Palatino Linotype" w:hAnsi="Palatino Linotype"/>
          <w:sz w:val="24"/>
          <w:szCs w:val="24"/>
        </w:rPr>
      </w:pPr>
    </w:p>
    <w:p w:rsidR="00483418" w:rsidRDefault="00483418" w:rsidP="009D4E0C">
      <w:pPr>
        <w:numPr>
          <w:ilvl w:val="0"/>
          <w:numId w:val="1"/>
        </w:numPr>
        <w:spacing w:after="0" w:line="360" w:lineRule="auto"/>
        <w:ind w:left="0" w:firstLine="0"/>
        <w:contextualSpacing/>
        <w:jc w:val="both"/>
        <w:rPr>
          <w:rFonts w:ascii="Palatino Linotype" w:hAnsi="Palatino Linotype"/>
          <w:sz w:val="24"/>
          <w:szCs w:val="24"/>
        </w:rPr>
      </w:pPr>
      <w:r w:rsidRPr="00D10121">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p>
    <w:p w:rsidR="007B6093" w:rsidRDefault="007B6093" w:rsidP="007B6093">
      <w:pPr>
        <w:pStyle w:val="Prrafodelista"/>
        <w:rPr>
          <w:rFonts w:ascii="Palatino Linotype" w:hAnsi="Palatino Linotype"/>
          <w:sz w:val="24"/>
          <w:szCs w:val="24"/>
        </w:rPr>
      </w:pPr>
    </w:p>
    <w:p w:rsidR="007B6093" w:rsidRDefault="007B6093" w:rsidP="007B6093">
      <w:pPr>
        <w:spacing w:after="0" w:line="360" w:lineRule="auto"/>
        <w:contextualSpacing/>
        <w:jc w:val="both"/>
        <w:rPr>
          <w:rFonts w:ascii="Palatino Linotype" w:hAnsi="Palatino Linotype"/>
          <w:sz w:val="24"/>
          <w:szCs w:val="24"/>
        </w:rPr>
      </w:pPr>
    </w:p>
    <w:p w:rsidR="007B6093" w:rsidRDefault="007B6093" w:rsidP="007B6093">
      <w:pPr>
        <w:spacing w:after="0" w:line="360" w:lineRule="auto"/>
        <w:contextualSpacing/>
        <w:jc w:val="both"/>
        <w:rPr>
          <w:rFonts w:ascii="Palatino Linotype" w:hAnsi="Palatino Linotype"/>
          <w:sz w:val="24"/>
          <w:szCs w:val="24"/>
        </w:rPr>
      </w:pPr>
    </w:p>
    <w:p w:rsidR="007B6093" w:rsidRDefault="007B6093" w:rsidP="007B6093">
      <w:pPr>
        <w:spacing w:after="0" w:line="360" w:lineRule="auto"/>
        <w:contextualSpacing/>
        <w:jc w:val="both"/>
        <w:rPr>
          <w:rFonts w:ascii="Palatino Linotype" w:hAnsi="Palatino Linotype"/>
          <w:sz w:val="24"/>
          <w:szCs w:val="24"/>
        </w:rPr>
      </w:pPr>
    </w:p>
    <w:p w:rsidR="007B6093" w:rsidRPr="00D10121" w:rsidRDefault="007B6093" w:rsidP="007B6093">
      <w:pPr>
        <w:spacing w:after="0" w:line="360" w:lineRule="auto"/>
        <w:contextualSpacing/>
        <w:jc w:val="both"/>
        <w:rPr>
          <w:rFonts w:ascii="Palatino Linotype" w:hAnsi="Palatino Linotype"/>
          <w:sz w:val="24"/>
          <w:szCs w:val="24"/>
        </w:rPr>
      </w:pPr>
    </w:p>
    <w:p w:rsidR="00E6179D" w:rsidRPr="0083488C" w:rsidRDefault="00CD53CB" w:rsidP="00CD53CB">
      <w:pPr>
        <w:pStyle w:val="Ttulo1"/>
        <w:rPr>
          <w:rFonts w:eastAsia="Calibri"/>
          <w:szCs w:val="24"/>
        </w:rPr>
      </w:pPr>
      <w:bookmarkStart w:id="6" w:name="_Toc531602376"/>
      <w:r>
        <w:rPr>
          <w:rFonts w:eastAsia="Calibri"/>
          <w:color w:val="auto"/>
          <w:szCs w:val="24"/>
        </w:rPr>
        <w:lastRenderedPageBreak/>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Default="00A22908" w:rsidP="00E6179D">
      <w:pPr>
        <w:rPr>
          <w:rFonts w:ascii="Palatino Linotype" w:hAnsi="Palatino Linotype"/>
          <w:color w:val="000000" w:themeColor="text1"/>
          <w:sz w:val="24"/>
          <w:szCs w:val="24"/>
        </w:rPr>
      </w:pPr>
    </w:p>
    <w:p w:rsidR="00C602B8" w:rsidRDefault="00C602B8"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p w:rsidR="00797A31" w:rsidRPr="00427B79" w:rsidRDefault="00797A31" w:rsidP="00E6179D">
      <w:pPr>
        <w:rPr>
          <w:sz w:val="24"/>
          <w:szCs w:val="24"/>
        </w:rPr>
      </w:pPr>
    </w:p>
    <w:sectPr w:rsidR="00797A31"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56E" w:rsidRDefault="003D556E" w:rsidP="00E82D3D">
      <w:pPr>
        <w:spacing w:after="0" w:line="240" w:lineRule="auto"/>
      </w:pPr>
      <w:r>
        <w:separator/>
      </w:r>
    </w:p>
  </w:endnote>
  <w:endnote w:type="continuationSeparator" w:id="0">
    <w:p w:rsidR="003D556E" w:rsidRDefault="003D556E"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01444">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01444">
              <w:rPr>
                <w:b/>
                <w:bCs/>
                <w:noProof/>
              </w:rPr>
              <w:t>17</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56E" w:rsidRDefault="003D556E" w:rsidP="00E82D3D">
      <w:pPr>
        <w:spacing w:after="0" w:line="240" w:lineRule="auto"/>
      </w:pPr>
      <w:r>
        <w:separator/>
      </w:r>
    </w:p>
  </w:footnote>
  <w:footnote w:type="continuationSeparator" w:id="0">
    <w:p w:rsidR="003D556E" w:rsidRDefault="003D556E"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50144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50144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50144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04C7325"/>
    <w:multiLevelType w:val="hybridMultilevel"/>
    <w:tmpl w:val="3BC6AE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4">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2">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20"/>
  </w:num>
  <w:num w:numId="3">
    <w:abstractNumId w:val="3"/>
  </w:num>
  <w:num w:numId="4">
    <w:abstractNumId w:val="25"/>
  </w:num>
  <w:num w:numId="5">
    <w:abstractNumId w:val="0"/>
  </w:num>
  <w:num w:numId="6">
    <w:abstractNumId w:val="1"/>
  </w:num>
  <w:num w:numId="7">
    <w:abstractNumId w:val="11"/>
  </w:num>
  <w:num w:numId="8">
    <w:abstractNumId w:val="14"/>
  </w:num>
  <w:num w:numId="9">
    <w:abstractNumId w:val="22"/>
  </w:num>
  <w:num w:numId="10">
    <w:abstractNumId w:val="13"/>
  </w:num>
  <w:num w:numId="11">
    <w:abstractNumId w:val="17"/>
  </w:num>
  <w:num w:numId="12">
    <w:abstractNumId w:val="7"/>
  </w:num>
  <w:num w:numId="13">
    <w:abstractNumId w:val="27"/>
  </w:num>
  <w:num w:numId="14">
    <w:abstractNumId w:val="26"/>
  </w:num>
  <w:num w:numId="15">
    <w:abstractNumId w:val="2"/>
  </w:num>
  <w:num w:numId="16">
    <w:abstractNumId w:val="10"/>
  </w:num>
  <w:num w:numId="17">
    <w:abstractNumId w:val="6"/>
  </w:num>
  <w:num w:numId="18">
    <w:abstractNumId w:val="8"/>
  </w:num>
  <w:num w:numId="19">
    <w:abstractNumId w:val="16"/>
  </w:num>
  <w:num w:numId="20">
    <w:abstractNumId w:val="5"/>
  </w:num>
  <w:num w:numId="21">
    <w:abstractNumId w:val="9"/>
  </w:num>
  <w:num w:numId="22">
    <w:abstractNumId w:val="23"/>
  </w:num>
  <w:num w:numId="23">
    <w:abstractNumId w:val="15"/>
  </w:num>
  <w:num w:numId="24">
    <w:abstractNumId w:val="4"/>
  </w:num>
  <w:num w:numId="25">
    <w:abstractNumId w:val="24"/>
  </w:num>
  <w:num w:numId="26">
    <w:abstractNumId w:val="18"/>
  </w:num>
  <w:num w:numId="27">
    <w:abstractNumId w:val="21"/>
  </w:num>
  <w:num w:numId="28">
    <w:abstractNumId w:val="12"/>
  </w:num>
  <w:num w:numId="29">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31FD"/>
    <w:rsid w:val="00025E0E"/>
    <w:rsid w:val="0002788B"/>
    <w:rsid w:val="00033837"/>
    <w:rsid w:val="000354F0"/>
    <w:rsid w:val="0003648B"/>
    <w:rsid w:val="00047D47"/>
    <w:rsid w:val="00050071"/>
    <w:rsid w:val="00051010"/>
    <w:rsid w:val="0006430D"/>
    <w:rsid w:val="00064C7C"/>
    <w:rsid w:val="00075BC8"/>
    <w:rsid w:val="00080138"/>
    <w:rsid w:val="00082116"/>
    <w:rsid w:val="00083196"/>
    <w:rsid w:val="0009506C"/>
    <w:rsid w:val="000957D0"/>
    <w:rsid w:val="00096CC2"/>
    <w:rsid w:val="000A17C5"/>
    <w:rsid w:val="000B09D7"/>
    <w:rsid w:val="000B2BE4"/>
    <w:rsid w:val="000C57DB"/>
    <w:rsid w:val="000D2AD4"/>
    <w:rsid w:val="000D78CD"/>
    <w:rsid w:val="000E1ACA"/>
    <w:rsid w:val="000E4D6E"/>
    <w:rsid w:val="000F6EC0"/>
    <w:rsid w:val="00102360"/>
    <w:rsid w:val="00113C80"/>
    <w:rsid w:val="00113E8A"/>
    <w:rsid w:val="001240A5"/>
    <w:rsid w:val="00147D04"/>
    <w:rsid w:val="0016014E"/>
    <w:rsid w:val="001604B4"/>
    <w:rsid w:val="001708DF"/>
    <w:rsid w:val="001725DC"/>
    <w:rsid w:val="001730A7"/>
    <w:rsid w:val="0018245A"/>
    <w:rsid w:val="001833A7"/>
    <w:rsid w:val="0018421D"/>
    <w:rsid w:val="001849AC"/>
    <w:rsid w:val="00187407"/>
    <w:rsid w:val="001A3506"/>
    <w:rsid w:val="001A7D89"/>
    <w:rsid w:val="001B19B4"/>
    <w:rsid w:val="001C23BB"/>
    <w:rsid w:val="001C3DD0"/>
    <w:rsid w:val="001C6366"/>
    <w:rsid w:val="001D35E2"/>
    <w:rsid w:val="001D47E3"/>
    <w:rsid w:val="001D71D8"/>
    <w:rsid w:val="001E1AE7"/>
    <w:rsid w:val="001E5635"/>
    <w:rsid w:val="001F05DA"/>
    <w:rsid w:val="001F0E58"/>
    <w:rsid w:val="001F1428"/>
    <w:rsid w:val="00202AE6"/>
    <w:rsid w:val="0022191E"/>
    <w:rsid w:val="00222730"/>
    <w:rsid w:val="00223548"/>
    <w:rsid w:val="00224B9E"/>
    <w:rsid w:val="00230205"/>
    <w:rsid w:val="00235438"/>
    <w:rsid w:val="00240141"/>
    <w:rsid w:val="00241D8A"/>
    <w:rsid w:val="00245E34"/>
    <w:rsid w:val="00252BB6"/>
    <w:rsid w:val="00256514"/>
    <w:rsid w:val="002573C4"/>
    <w:rsid w:val="002643E6"/>
    <w:rsid w:val="00265FB2"/>
    <w:rsid w:val="00270126"/>
    <w:rsid w:val="00273862"/>
    <w:rsid w:val="002A071E"/>
    <w:rsid w:val="002A2E8D"/>
    <w:rsid w:val="002A3111"/>
    <w:rsid w:val="002B1EA1"/>
    <w:rsid w:val="002B1FE5"/>
    <w:rsid w:val="002B30C5"/>
    <w:rsid w:val="002C0B0D"/>
    <w:rsid w:val="002C4ACE"/>
    <w:rsid w:val="002D2F58"/>
    <w:rsid w:val="002D4033"/>
    <w:rsid w:val="002E3ED2"/>
    <w:rsid w:val="002E691F"/>
    <w:rsid w:val="002F79FF"/>
    <w:rsid w:val="00302CEB"/>
    <w:rsid w:val="00305CE0"/>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962"/>
    <w:rsid w:val="003B6B7C"/>
    <w:rsid w:val="003C19DC"/>
    <w:rsid w:val="003C37C6"/>
    <w:rsid w:val="003C7F8A"/>
    <w:rsid w:val="003D41BA"/>
    <w:rsid w:val="003D556E"/>
    <w:rsid w:val="003D7278"/>
    <w:rsid w:val="003E0648"/>
    <w:rsid w:val="003F0FAA"/>
    <w:rsid w:val="003F1617"/>
    <w:rsid w:val="00401477"/>
    <w:rsid w:val="00410B42"/>
    <w:rsid w:val="0041189B"/>
    <w:rsid w:val="00421B1A"/>
    <w:rsid w:val="00422BF0"/>
    <w:rsid w:val="00423C67"/>
    <w:rsid w:val="00427B43"/>
    <w:rsid w:val="00427B79"/>
    <w:rsid w:val="004340E4"/>
    <w:rsid w:val="00434E1A"/>
    <w:rsid w:val="00436338"/>
    <w:rsid w:val="00436541"/>
    <w:rsid w:val="00437D14"/>
    <w:rsid w:val="00454A8A"/>
    <w:rsid w:val="0045613E"/>
    <w:rsid w:val="0046231E"/>
    <w:rsid w:val="004633B7"/>
    <w:rsid w:val="00466F4A"/>
    <w:rsid w:val="00470840"/>
    <w:rsid w:val="004733AF"/>
    <w:rsid w:val="0047567F"/>
    <w:rsid w:val="00480F5B"/>
    <w:rsid w:val="00483418"/>
    <w:rsid w:val="0048628E"/>
    <w:rsid w:val="00494B01"/>
    <w:rsid w:val="00497F7C"/>
    <w:rsid w:val="004A5F86"/>
    <w:rsid w:val="004C57A6"/>
    <w:rsid w:val="004D772F"/>
    <w:rsid w:val="004F3ABB"/>
    <w:rsid w:val="004F4DA5"/>
    <w:rsid w:val="00501444"/>
    <w:rsid w:val="00501D40"/>
    <w:rsid w:val="00510EE4"/>
    <w:rsid w:val="0051740A"/>
    <w:rsid w:val="00522308"/>
    <w:rsid w:val="0052306C"/>
    <w:rsid w:val="00535FDA"/>
    <w:rsid w:val="005441DE"/>
    <w:rsid w:val="005503D3"/>
    <w:rsid w:val="00554B28"/>
    <w:rsid w:val="005556CA"/>
    <w:rsid w:val="005565CE"/>
    <w:rsid w:val="005650D9"/>
    <w:rsid w:val="00567957"/>
    <w:rsid w:val="005905A5"/>
    <w:rsid w:val="00590C2D"/>
    <w:rsid w:val="00590D95"/>
    <w:rsid w:val="00594E5C"/>
    <w:rsid w:val="005A2F43"/>
    <w:rsid w:val="005C0258"/>
    <w:rsid w:val="005C253D"/>
    <w:rsid w:val="005C5909"/>
    <w:rsid w:val="005D0118"/>
    <w:rsid w:val="005E5192"/>
    <w:rsid w:val="005F30BC"/>
    <w:rsid w:val="005F3E96"/>
    <w:rsid w:val="006055D1"/>
    <w:rsid w:val="00611694"/>
    <w:rsid w:val="0061188C"/>
    <w:rsid w:val="00617ACF"/>
    <w:rsid w:val="006262ED"/>
    <w:rsid w:val="006319DC"/>
    <w:rsid w:val="00645585"/>
    <w:rsid w:val="006562FF"/>
    <w:rsid w:val="00673029"/>
    <w:rsid w:val="00676187"/>
    <w:rsid w:val="00680533"/>
    <w:rsid w:val="006864CA"/>
    <w:rsid w:val="006937EC"/>
    <w:rsid w:val="006951FC"/>
    <w:rsid w:val="006A0BDD"/>
    <w:rsid w:val="006B39ED"/>
    <w:rsid w:val="006C5E0D"/>
    <w:rsid w:val="006D3C8A"/>
    <w:rsid w:val="006D3CE1"/>
    <w:rsid w:val="006E22C9"/>
    <w:rsid w:val="006E5F97"/>
    <w:rsid w:val="006F081D"/>
    <w:rsid w:val="006F0A01"/>
    <w:rsid w:val="00715A51"/>
    <w:rsid w:val="00720D2F"/>
    <w:rsid w:val="00723CDA"/>
    <w:rsid w:val="00730193"/>
    <w:rsid w:val="00733675"/>
    <w:rsid w:val="007349D6"/>
    <w:rsid w:val="00740A46"/>
    <w:rsid w:val="00740DA3"/>
    <w:rsid w:val="00744BA1"/>
    <w:rsid w:val="00744F8C"/>
    <w:rsid w:val="00761D8C"/>
    <w:rsid w:val="007626E7"/>
    <w:rsid w:val="00772781"/>
    <w:rsid w:val="00772B4B"/>
    <w:rsid w:val="00773AAF"/>
    <w:rsid w:val="007763E8"/>
    <w:rsid w:val="00780F47"/>
    <w:rsid w:val="00786073"/>
    <w:rsid w:val="00787B93"/>
    <w:rsid w:val="00797A31"/>
    <w:rsid w:val="007A1EB0"/>
    <w:rsid w:val="007A4C87"/>
    <w:rsid w:val="007A5444"/>
    <w:rsid w:val="007B0E23"/>
    <w:rsid w:val="007B2DD9"/>
    <w:rsid w:val="007B6093"/>
    <w:rsid w:val="007D037D"/>
    <w:rsid w:val="007D03AB"/>
    <w:rsid w:val="007D1783"/>
    <w:rsid w:val="007D2D36"/>
    <w:rsid w:val="007D7732"/>
    <w:rsid w:val="007E48FF"/>
    <w:rsid w:val="007F7A9D"/>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C025D"/>
    <w:rsid w:val="008C63A7"/>
    <w:rsid w:val="008D4328"/>
    <w:rsid w:val="008E733E"/>
    <w:rsid w:val="008F212A"/>
    <w:rsid w:val="008F2800"/>
    <w:rsid w:val="0090262D"/>
    <w:rsid w:val="00906020"/>
    <w:rsid w:val="009143F1"/>
    <w:rsid w:val="00920E8D"/>
    <w:rsid w:val="00922197"/>
    <w:rsid w:val="00930786"/>
    <w:rsid w:val="0093474A"/>
    <w:rsid w:val="00945937"/>
    <w:rsid w:val="00950BDB"/>
    <w:rsid w:val="00952EF3"/>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E0EE0"/>
    <w:rsid w:val="009F4960"/>
    <w:rsid w:val="009F6B96"/>
    <w:rsid w:val="009F7A37"/>
    <w:rsid w:val="009F7B67"/>
    <w:rsid w:val="00A02ED0"/>
    <w:rsid w:val="00A07D73"/>
    <w:rsid w:val="00A1541E"/>
    <w:rsid w:val="00A22908"/>
    <w:rsid w:val="00A23B00"/>
    <w:rsid w:val="00A245A7"/>
    <w:rsid w:val="00A276D9"/>
    <w:rsid w:val="00A2786C"/>
    <w:rsid w:val="00A37A86"/>
    <w:rsid w:val="00A42F36"/>
    <w:rsid w:val="00A5179E"/>
    <w:rsid w:val="00A57FC6"/>
    <w:rsid w:val="00A61107"/>
    <w:rsid w:val="00A649E1"/>
    <w:rsid w:val="00A672A5"/>
    <w:rsid w:val="00A717F7"/>
    <w:rsid w:val="00A749B1"/>
    <w:rsid w:val="00A82E8C"/>
    <w:rsid w:val="00A84374"/>
    <w:rsid w:val="00AA0FB7"/>
    <w:rsid w:val="00AA39FC"/>
    <w:rsid w:val="00AC4FE5"/>
    <w:rsid w:val="00AC640A"/>
    <w:rsid w:val="00AD1BEF"/>
    <w:rsid w:val="00AD4195"/>
    <w:rsid w:val="00AD5621"/>
    <w:rsid w:val="00AE0090"/>
    <w:rsid w:val="00AE08B4"/>
    <w:rsid w:val="00AE3DF4"/>
    <w:rsid w:val="00AF1B72"/>
    <w:rsid w:val="00B16CE1"/>
    <w:rsid w:val="00B2190C"/>
    <w:rsid w:val="00B32C98"/>
    <w:rsid w:val="00B3675E"/>
    <w:rsid w:val="00B41044"/>
    <w:rsid w:val="00B516DB"/>
    <w:rsid w:val="00B52EEC"/>
    <w:rsid w:val="00B57FAA"/>
    <w:rsid w:val="00B64246"/>
    <w:rsid w:val="00B73B30"/>
    <w:rsid w:val="00B821C2"/>
    <w:rsid w:val="00B83FC5"/>
    <w:rsid w:val="00B847EF"/>
    <w:rsid w:val="00B84C49"/>
    <w:rsid w:val="00B91C16"/>
    <w:rsid w:val="00B9285A"/>
    <w:rsid w:val="00B97DB6"/>
    <w:rsid w:val="00BA5115"/>
    <w:rsid w:val="00BB27D3"/>
    <w:rsid w:val="00BB325C"/>
    <w:rsid w:val="00BB4414"/>
    <w:rsid w:val="00BB488C"/>
    <w:rsid w:val="00BB48A7"/>
    <w:rsid w:val="00BB6D90"/>
    <w:rsid w:val="00BC31E0"/>
    <w:rsid w:val="00BD16B5"/>
    <w:rsid w:val="00BD2985"/>
    <w:rsid w:val="00BF70DB"/>
    <w:rsid w:val="00C02557"/>
    <w:rsid w:val="00C0383A"/>
    <w:rsid w:val="00C076A9"/>
    <w:rsid w:val="00C1158A"/>
    <w:rsid w:val="00C12852"/>
    <w:rsid w:val="00C130B3"/>
    <w:rsid w:val="00C20869"/>
    <w:rsid w:val="00C43E73"/>
    <w:rsid w:val="00C4764C"/>
    <w:rsid w:val="00C544E1"/>
    <w:rsid w:val="00C547F0"/>
    <w:rsid w:val="00C602B8"/>
    <w:rsid w:val="00C6233A"/>
    <w:rsid w:val="00C66C13"/>
    <w:rsid w:val="00C73E2A"/>
    <w:rsid w:val="00C752C4"/>
    <w:rsid w:val="00C753D8"/>
    <w:rsid w:val="00C9078E"/>
    <w:rsid w:val="00C93875"/>
    <w:rsid w:val="00CA2B8E"/>
    <w:rsid w:val="00CA6667"/>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0121"/>
    <w:rsid w:val="00D152FB"/>
    <w:rsid w:val="00D207EA"/>
    <w:rsid w:val="00D2727B"/>
    <w:rsid w:val="00D31010"/>
    <w:rsid w:val="00D35B4C"/>
    <w:rsid w:val="00D36317"/>
    <w:rsid w:val="00D40E34"/>
    <w:rsid w:val="00D51491"/>
    <w:rsid w:val="00D549C7"/>
    <w:rsid w:val="00D92BA5"/>
    <w:rsid w:val="00DA5A47"/>
    <w:rsid w:val="00DB39B5"/>
    <w:rsid w:val="00DB53B7"/>
    <w:rsid w:val="00DC4358"/>
    <w:rsid w:val="00DC792E"/>
    <w:rsid w:val="00DD14BB"/>
    <w:rsid w:val="00DE7A32"/>
    <w:rsid w:val="00DF3DF1"/>
    <w:rsid w:val="00DF782C"/>
    <w:rsid w:val="00E10CF1"/>
    <w:rsid w:val="00E15203"/>
    <w:rsid w:val="00E216B3"/>
    <w:rsid w:val="00E27554"/>
    <w:rsid w:val="00E27A90"/>
    <w:rsid w:val="00E317C2"/>
    <w:rsid w:val="00E3588D"/>
    <w:rsid w:val="00E41E1B"/>
    <w:rsid w:val="00E51DF4"/>
    <w:rsid w:val="00E535E4"/>
    <w:rsid w:val="00E61519"/>
    <w:rsid w:val="00E6179D"/>
    <w:rsid w:val="00E676E0"/>
    <w:rsid w:val="00E82D3D"/>
    <w:rsid w:val="00E93266"/>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41722"/>
    <w:rsid w:val="00F665AF"/>
    <w:rsid w:val="00F67DF2"/>
    <w:rsid w:val="00F72355"/>
    <w:rsid w:val="00F776CD"/>
    <w:rsid w:val="00F8373B"/>
    <w:rsid w:val="00FA6405"/>
    <w:rsid w:val="00FA79CE"/>
    <w:rsid w:val="00FB274F"/>
    <w:rsid w:val="00FC605B"/>
    <w:rsid w:val="00FD1FAD"/>
    <w:rsid w:val="00FE28D1"/>
    <w:rsid w:val="00FE3088"/>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1C823-3587-40C3-A243-F7BDE626E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17</Pages>
  <Words>3634</Words>
  <Characters>19988</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37</cp:revision>
  <cp:lastPrinted>2018-12-12T23:38:00Z</cp:lastPrinted>
  <dcterms:created xsi:type="dcterms:W3CDTF">2018-10-22T18:42:00Z</dcterms:created>
  <dcterms:modified xsi:type="dcterms:W3CDTF">2019-01-18T01:49:00Z</dcterms:modified>
</cp:coreProperties>
</file>